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76" w:firstLineChars="157"/>
        <w:jc w:val="center"/>
        <w:rPr>
          <w:rFonts w:ascii="黑体" w:hAnsi="黑体" w:eastAsia="黑体"/>
          <w:sz w:val="24"/>
        </w:rPr>
      </w:pPr>
      <w:r>
        <w:rPr>
          <w:rFonts w:hint="eastAsia" w:ascii="黑体" w:hAnsi="黑体" w:eastAsia="黑体"/>
          <w:sz w:val="24"/>
        </w:rPr>
        <w:t>反洗钱调查问卷</w:t>
      </w:r>
    </w:p>
    <w:p>
      <w:pPr>
        <w:ind w:firstLine="376" w:firstLineChars="157"/>
        <w:jc w:val="right"/>
        <w:rPr>
          <w:rFonts w:ascii="华文楷体" w:hAnsi="华文楷体" w:eastAsia="华文楷体"/>
          <w:sz w:val="24"/>
        </w:rPr>
      </w:pPr>
      <w:r>
        <w:rPr>
          <w:rFonts w:hint="eastAsia" w:ascii="华文楷体" w:hAnsi="华文楷体" w:eastAsia="华文楷体"/>
          <w:sz w:val="24"/>
        </w:rPr>
        <w:t>（适用于境内金融机构）</w:t>
      </w:r>
    </w:p>
    <w:p>
      <w:pPr>
        <w:autoSpaceDE w:val="0"/>
        <w:autoSpaceDN w:val="0"/>
        <w:adjustRightInd w:val="0"/>
        <w:snapToGrid w:val="0"/>
        <w:spacing w:line="360" w:lineRule="auto"/>
        <w:ind w:firstLine="376" w:firstLineChars="157"/>
        <w:rPr>
          <w:rFonts w:ascii="华文楷体" w:hAnsi="华文楷体" w:eastAsia="华文楷体" w:cs="Arial"/>
          <w:sz w:val="24"/>
          <w:u w:val="single"/>
        </w:rPr>
      </w:pPr>
      <w:r>
        <w:rPr>
          <w:rFonts w:hint="eastAsia" w:ascii="华文楷体" w:hAnsi="华文楷体" w:eastAsia="华文楷体" w:cs="Arial"/>
          <w:sz w:val="24"/>
        </w:rPr>
        <w:t xml:space="preserve">金融机构名称： </w:t>
      </w:r>
      <w:r>
        <w:rPr>
          <w:rFonts w:hint="eastAsia" w:ascii="华文楷体" w:hAnsi="华文楷体" w:eastAsia="华文楷体" w:cs="Arial"/>
          <w:sz w:val="24"/>
          <w:u w:val="single"/>
        </w:rPr>
        <w:t xml:space="preserve">   </w:t>
      </w:r>
      <w:r>
        <w:rPr>
          <w:rFonts w:hint="eastAsia" w:ascii="华文楷体" w:hAnsi="华文楷体" w:eastAsia="华文楷体" w:cs="Arial"/>
          <w:sz w:val="24"/>
          <w:u w:val="single"/>
          <w:lang w:val="en-US" w:eastAsia="zh-CN"/>
        </w:rPr>
        <w:t xml:space="preserve">                           </w:t>
      </w:r>
      <w:r>
        <w:rPr>
          <w:rFonts w:hint="eastAsia" w:ascii="华文楷体" w:hAnsi="华文楷体" w:eastAsia="华文楷体" w:cs="Arial"/>
          <w:sz w:val="24"/>
          <w:u w:val="single"/>
        </w:rPr>
        <w:t xml:space="preserve">        </w:t>
      </w:r>
      <w:r>
        <w:rPr>
          <w:rFonts w:hint="eastAsia" w:ascii="华文楷体" w:hAnsi="华文楷体" w:eastAsia="华文楷体" w:cs="Arial"/>
          <w:sz w:val="24"/>
          <w:u w:val="single"/>
          <w:lang w:val="en-US" w:eastAsia="zh-CN"/>
        </w:rPr>
        <w:t xml:space="preserve">         </w:t>
      </w:r>
      <w:r>
        <w:rPr>
          <w:rFonts w:hint="eastAsia" w:ascii="华文楷体" w:hAnsi="华文楷体" w:eastAsia="华文楷体" w:cs="Arial"/>
          <w:sz w:val="24"/>
          <w:u w:val="single"/>
        </w:rPr>
        <w:t xml:space="preserve">    </w:t>
      </w:r>
    </w:p>
    <w:p>
      <w:pPr>
        <w:autoSpaceDE w:val="0"/>
        <w:autoSpaceDN w:val="0"/>
        <w:adjustRightInd w:val="0"/>
        <w:snapToGrid w:val="0"/>
        <w:spacing w:line="360" w:lineRule="auto"/>
        <w:ind w:firstLine="376" w:firstLineChars="157"/>
        <w:rPr>
          <w:rFonts w:hint="default" w:ascii="华文楷体" w:hAnsi="华文楷体" w:eastAsia="华文楷体" w:cs="Arial"/>
          <w:sz w:val="24"/>
          <w:u w:val="single"/>
          <w:lang w:val="en-US"/>
        </w:rPr>
      </w:pPr>
      <w:r>
        <w:rPr>
          <w:rFonts w:hint="eastAsia" w:ascii="华文楷体" w:hAnsi="华文楷体" w:eastAsia="华文楷体" w:cs="Arial"/>
          <w:sz w:val="24"/>
        </w:rPr>
        <w:t xml:space="preserve">注   册   地： </w:t>
      </w:r>
      <w:r>
        <w:rPr>
          <w:rFonts w:hint="eastAsia" w:ascii="华文楷体" w:hAnsi="华文楷体" w:eastAsia="华文楷体" w:cs="Arial"/>
          <w:sz w:val="24"/>
          <w:u w:val="single"/>
          <w:lang w:val="en-US" w:eastAsia="zh-CN"/>
        </w:rPr>
        <w:t xml:space="preserve">                                                   </w:t>
      </w:r>
    </w:p>
    <w:p>
      <w:pPr>
        <w:autoSpaceDE w:val="0"/>
        <w:autoSpaceDN w:val="0"/>
        <w:adjustRightInd w:val="0"/>
        <w:snapToGrid w:val="0"/>
        <w:spacing w:line="360" w:lineRule="auto"/>
        <w:ind w:firstLine="376" w:firstLineChars="157"/>
        <w:rPr>
          <w:rFonts w:ascii="华文楷体" w:hAnsi="华文楷体" w:eastAsia="华文楷体" w:cs="Arial"/>
          <w:sz w:val="24"/>
          <w:u w:val="single"/>
        </w:rPr>
      </w:pPr>
      <w:r>
        <w:rPr>
          <w:rFonts w:hint="eastAsia" w:ascii="华文楷体" w:hAnsi="华文楷体" w:eastAsia="华文楷体" w:cs="Arial"/>
          <w:sz w:val="24"/>
        </w:rPr>
        <w:t xml:space="preserve">金融机构性质：  □银行机构  </w:t>
      </w:r>
      <w:r>
        <w:rPr>
          <w:rFonts w:hint="eastAsia" w:cs="Arial" w:asciiTheme="minorEastAsia" w:hAnsiTheme="minorEastAsia" w:eastAsiaTheme="minorEastAsia"/>
          <w:iCs/>
          <w:szCs w:val="21"/>
        </w:rPr>
        <w:t>□</w:t>
      </w:r>
      <w:r>
        <w:rPr>
          <w:rFonts w:hint="eastAsia" w:ascii="华文楷体" w:hAnsi="华文楷体" w:eastAsia="华文楷体" w:cs="Arial"/>
          <w:sz w:val="24"/>
        </w:rPr>
        <w:t>非银行机构</w:t>
      </w:r>
    </w:p>
    <w:p>
      <w:pPr>
        <w:spacing w:line="360" w:lineRule="auto"/>
        <w:ind w:firstLine="329" w:firstLineChars="157"/>
        <w:rPr>
          <w:rFonts w:ascii="华文楷体" w:hAnsi="华文楷体" w:eastAsia="华文楷体" w:cs="Arial"/>
          <w:szCs w:val="21"/>
        </w:rPr>
      </w:pPr>
      <w:r>
        <w:rPr>
          <w:rFonts w:hint="eastAsia" w:cs="Arial" w:asciiTheme="minorEastAsia" w:hAnsiTheme="minorEastAsia" w:eastAsiaTheme="minorEastAsia"/>
          <w:color w:val="FF0000"/>
          <w:szCs w:val="21"/>
        </w:rPr>
        <w:t>（注意：如果对本问卷任何问题的回答选择“否”，请在本问卷的后面提供附加信息。金融机构将反洗钱调查问卷备案时，有效期为1年。）</w:t>
      </w:r>
    </w:p>
    <w:tbl>
      <w:tblPr>
        <w:tblStyle w:val="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652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shd w:val="clear" w:color="auto" w:fill="CCCCCC"/>
          </w:tcPr>
          <w:p>
            <w:pPr>
              <w:spacing w:line="400" w:lineRule="exact"/>
              <w:ind w:firstLine="331" w:firstLineChars="157"/>
              <w:rPr>
                <w:rFonts w:cs="Arial" w:asciiTheme="minorEastAsia" w:hAnsiTheme="minorEastAsia" w:eastAsiaTheme="minorEastAsia"/>
                <w:b/>
                <w:szCs w:val="21"/>
              </w:rPr>
            </w:pPr>
            <w:r>
              <w:rPr>
                <w:rFonts w:hint="eastAsia" w:cs="Arial" w:asciiTheme="minorEastAsia" w:hAnsiTheme="minorEastAsia" w:eastAsiaTheme="minorEastAsia"/>
                <w:b/>
                <w:szCs w:val="21"/>
              </w:rPr>
              <w:t>一、反洗钱组织体系、流程控制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31" w:firstLineChars="157"/>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序号</w:t>
            </w:r>
          </w:p>
        </w:tc>
        <w:tc>
          <w:tcPr>
            <w:tcW w:w="6521" w:type="dxa"/>
            <w:shd w:val="clear" w:color="auto" w:fill="auto"/>
          </w:tcPr>
          <w:p>
            <w:pPr>
              <w:spacing w:line="400" w:lineRule="exact"/>
              <w:ind w:firstLine="331" w:firstLineChars="157"/>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    目   内   容</w:t>
            </w:r>
          </w:p>
        </w:tc>
        <w:tc>
          <w:tcPr>
            <w:tcW w:w="1559" w:type="dxa"/>
            <w:shd w:val="clear" w:color="auto" w:fill="auto"/>
          </w:tcPr>
          <w:p>
            <w:pPr>
              <w:spacing w:line="400" w:lineRule="exact"/>
              <w:ind w:firstLine="331" w:firstLineChars="157"/>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是</w:t>
            </w:r>
            <w:r>
              <w:rPr>
                <w:rFonts w:cs="Arial" w:asciiTheme="minorEastAsia" w:hAnsiTheme="minorEastAsia" w:eastAsiaTheme="minorEastAsia"/>
                <w:b/>
                <w:szCs w:val="21"/>
              </w:rPr>
              <w:t>/</w:t>
            </w:r>
            <w:r>
              <w:rPr>
                <w:rFonts w:hint="eastAsia" w:cs="Arial" w:asciiTheme="minorEastAsia" w:hAnsiTheme="minorEastAsia" w:eastAsiaTheme="minorEastAsia"/>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 xml:space="preserve">贵机构是否制订和实施了经董事会或高级经营管理层批准实施的反洗钱合规制度？ </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贵机构是否制订和实施了反洗钱法律、监管规则要求的合规管理程序，包括指定高级管理人员负责协调和监督本机构的反洗钱工作？</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3</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贵机构是否已经制订和实施了防范、识别和报告反洗钱可疑交易的制度？并且将整个过程留痕？</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除反洗钱主管部门的监管和检查外，贵机构是否有内部审计部门或者其他独立的第三方审计机构来定期评估反洗钱制度和实施情况？</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贵机构是否已经建立符合反洗钱法律法规和监管政策的记录留存程序？</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6</w:t>
            </w:r>
          </w:p>
        </w:tc>
        <w:tc>
          <w:tcPr>
            <w:tcW w:w="6521" w:type="dxa"/>
            <w:tcBorders>
              <w:bottom w:val="single" w:color="auto" w:sz="4" w:space="0"/>
            </w:tcBorders>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贵机构是否有禁止为空壳银行开户或建立客户关系的制度？（空壳银行是指在其获得批准成立的国家没有真正存在实体，且不接受任何全面有效监管的金融服务机构）？</w:t>
            </w:r>
          </w:p>
        </w:tc>
        <w:tc>
          <w:tcPr>
            <w:tcW w:w="1559"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shd w:val="clear" w:color="auto" w:fill="CCCCCC"/>
            <w:vAlign w:val="center"/>
          </w:tcPr>
          <w:p>
            <w:pPr>
              <w:spacing w:line="400" w:lineRule="exact"/>
              <w:ind w:firstLine="331" w:firstLineChars="157"/>
              <w:rPr>
                <w:rFonts w:cs="Arial" w:asciiTheme="minorEastAsia" w:hAnsiTheme="minorEastAsia" w:eastAsiaTheme="minorEastAsia"/>
                <w:b/>
                <w:szCs w:val="21"/>
              </w:rPr>
            </w:pPr>
            <w:r>
              <w:rPr>
                <w:rFonts w:hint="eastAsia" w:cs="Arial" w:asciiTheme="minorEastAsia" w:hAnsiTheme="minorEastAsia" w:eastAsiaTheme="minorEastAsia"/>
                <w:b/>
                <w:szCs w:val="21"/>
              </w:rPr>
              <w:t>二、了解你的客户、尽职调查和风险评估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7</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贵机构是否已经制订和实施符合反洗钱法律法规、监管规则的客户身份识别制度和流程？</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8</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贵机构在客户建立业务关系时是否收集符合监管规定的客户信息？</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9</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贵机构是否建立流程和系统以对发生交易的客户进行身份识别？</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iCs/>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10</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贵机构是否制订和实施了客户档案管理制度和流程，用于记录客户身份识别和“了解你的客户”等相关信息？</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11</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贵机构是否制订和实施了结合客户背景信息、预期交易目的及其真实交易行为等风险因素的风险等级划分制度？</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12</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贵机构是否制订和实施了针对高风险客户进行强化识别和复核的制度或流程？</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13</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贵机构是否要求定期审核客户信息、客户交易行为及客户风险等级？</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14</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贵机构是否制订了涵盖政府组织、国际组织等发布的恐怖组织或人员黑名单的监控制度？</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15</w:t>
            </w:r>
          </w:p>
        </w:tc>
        <w:tc>
          <w:tcPr>
            <w:tcW w:w="6521" w:type="dxa"/>
            <w:tcBorders>
              <w:bottom w:val="single" w:color="auto" w:sz="4" w:space="0"/>
            </w:tcBorders>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贵机构是否制订了与国际政要（PEP）及其家人或关联人建立业务关系的相关审核程序？</w:t>
            </w:r>
          </w:p>
        </w:tc>
        <w:tc>
          <w:tcPr>
            <w:tcW w:w="1559"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shd w:val="clear" w:color="auto" w:fill="CCCCCC"/>
            <w:vAlign w:val="center"/>
          </w:tcPr>
          <w:p>
            <w:pPr>
              <w:spacing w:line="400" w:lineRule="exact"/>
              <w:ind w:firstLine="331" w:firstLineChars="157"/>
              <w:rPr>
                <w:rFonts w:cs="Arial" w:asciiTheme="minorEastAsia" w:hAnsiTheme="minorEastAsia" w:eastAsiaTheme="minorEastAsia"/>
                <w:b/>
                <w:szCs w:val="21"/>
              </w:rPr>
            </w:pPr>
            <w:r>
              <w:rPr>
                <w:rFonts w:hint="eastAsia" w:cs="Arial" w:asciiTheme="minorEastAsia" w:hAnsiTheme="minorEastAsia" w:eastAsiaTheme="minorEastAsia"/>
                <w:b/>
                <w:szCs w:val="21"/>
              </w:rPr>
              <w:t>三、可疑交易监测、识别和报告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16</w:t>
            </w:r>
          </w:p>
        </w:tc>
        <w:tc>
          <w:tcPr>
            <w:tcW w:w="6521" w:type="dxa"/>
            <w:shd w:val="clear" w:color="auto" w:fill="auto"/>
            <w:vAlign w:val="center"/>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贵机构是否对识别并上报异常和可疑交易做出制度性规定？</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iCs/>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17</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贵机构是否监测客户的异常和可疑交易行为？</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18</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 xml:space="preserve">对于监测出来的异常和可疑交易行为，是否经过识别后向监管机构报告？ </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19</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 xml:space="preserve">贵机构是否按反洗钱法律法规的要求向中国反洗钱监测分析中心报送大额现金交易？ </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20</w:t>
            </w:r>
          </w:p>
        </w:tc>
        <w:tc>
          <w:tcPr>
            <w:tcW w:w="6521" w:type="dxa"/>
            <w:tcBorders>
              <w:bottom w:val="single" w:color="auto" w:sz="4" w:space="0"/>
            </w:tcBorders>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在与客户建立业务关系或开展交易活动前，贵机构是否制订和实施了对照政府或国际组织发布的制裁名单（已知或嫌疑的恐怖分子和贩毒分子等）来筛选客户信息的制度或流程？</w:t>
            </w:r>
          </w:p>
        </w:tc>
        <w:tc>
          <w:tcPr>
            <w:tcW w:w="1559" w:type="dxa"/>
            <w:tcBorders>
              <w:bottom w:val="single" w:color="auto" w:sz="4" w:space="0"/>
            </w:tcBorders>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3"/>
            <w:shd w:val="clear" w:color="auto" w:fill="CCCCCC"/>
            <w:vAlign w:val="center"/>
          </w:tcPr>
          <w:p>
            <w:pPr>
              <w:spacing w:line="400" w:lineRule="exact"/>
              <w:ind w:firstLine="331" w:firstLineChars="157"/>
              <w:rPr>
                <w:rFonts w:cs="Arial" w:asciiTheme="minorEastAsia" w:hAnsiTheme="minorEastAsia" w:eastAsiaTheme="minorEastAsia"/>
                <w:szCs w:val="21"/>
              </w:rPr>
            </w:pPr>
            <w:r>
              <w:rPr>
                <w:rFonts w:hint="eastAsia" w:cs="Arial" w:asciiTheme="minorEastAsia" w:hAnsiTheme="minorEastAsia" w:eastAsiaTheme="minorEastAsia"/>
                <w:b/>
                <w:szCs w:val="21"/>
              </w:rPr>
              <w:t>四、反洗钱培训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21</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贵机构是否向员工提供以下反洗钱和反恐怖融资培训：</w:t>
            </w:r>
          </w:p>
          <w:p>
            <w:pPr>
              <w:numPr>
                <w:ilvl w:val="0"/>
                <w:numId w:val="1"/>
              </w:numPr>
              <w:spacing w:line="400" w:lineRule="exact"/>
              <w:ind w:left="0"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可疑交易的识别和报告；</w:t>
            </w:r>
          </w:p>
          <w:p>
            <w:pPr>
              <w:numPr>
                <w:ilvl w:val="0"/>
                <w:numId w:val="1"/>
              </w:numPr>
              <w:spacing w:line="400" w:lineRule="exact"/>
              <w:ind w:left="0"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涉及贵机构产品、服务等不同形式的洗钱案例；</w:t>
            </w:r>
          </w:p>
          <w:p>
            <w:pPr>
              <w:numPr>
                <w:ilvl w:val="0"/>
                <w:numId w:val="1"/>
              </w:numPr>
              <w:spacing w:line="400" w:lineRule="exact"/>
              <w:ind w:left="0"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防范洗钱的内部控制制度和操作流程？</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22</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贵机构是否及时向员工传达以下内容：</w:t>
            </w:r>
          </w:p>
          <w:p>
            <w:pPr>
              <w:numPr>
                <w:ilvl w:val="0"/>
                <w:numId w:val="2"/>
              </w:numPr>
              <w:spacing w:line="400" w:lineRule="exact"/>
              <w:ind w:left="0"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最新的反洗钱法律法规和监管规则；</w:t>
            </w:r>
          </w:p>
          <w:p>
            <w:pPr>
              <w:numPr>
                <w:ilvl w:val="0"/>
                <w:numId w:val="2"/>
              </w:numPr>
              <w:spacing w:line="400" w:lineRule="exact"/>
              <w:ind w:left="0"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现有反洗钱制度在实施执行方面的变化？</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szCs w:val="21"/>
              </w:rPr>
              <w:t>23</w:t>
            </w:r>
          </w:p>
        </w:tc>
        <w:tc>
          <w:tcPr>
            <w:tcW w:w="6521" w:type="dxa"/>
            <w:shd w:val="clear" w:color="auto" w:fill="auto"/>
          </w:tcPr>
          <w:p>
            <w:pPr>
              <w:spacing w:line="400" w:lineRule="exact"/>
              <w:ind w:firstLine="329" w:firstLineChars="157"/>
              <w:rPr>
                <w:rFonts w:cs="Arial" w:asciiTheme="minorEastAsia" w:hAnsiTheme="minorEastAsia" w:eastAsiaTheme="minorEastAsia"/>
                <w:szCs w:val="21"/>
              </w:rPr>
            </w:pPr>
            <w:r>
              <w:rPr>
                <w:rFonts w:hint="eastAsia" w:cs="Arial" w:asciiTheme="minorEastAsia" w:hAnsiTheme="minorEastAsia" w:eastAsiaTheme="minorEastAsia"/>
                <w:szCs w:val="21"/>
              </w:rPr>
              <w:t>贵机构是否保存相关反洗钱培训记录，包括培训出勤率记录和所用的培训材料？</w:t>
            </w:r>
          </w:p>
        </w:tc>
        <w:tc>
          <w:tcPr>
            <w:tcW w:w="1559" w:type="dxa"/>
            <w:shd w:val="clear" w:color="auto" w:fill="auto"/>
            <w:vAlign w:val="center"/>
          </w:tcPr>
          <w:p>
            <w:pPr>
              <w:spacing w:line="400" w:lineRule="exact"/>
              <w:ind w:firstLine="329" w:firstLineChars="157"/>
              <w:jc w:val="center"/>
              <w:rPr>
                <w:rFonts w:cs="Arial" w:asciiTheme="minorEastAsia" w:hAnsiTheme="minorEastAsia" w:eastAsiaTheme="minorEastAsia"/>
                <w:szCs w:val="21"/>
              </w:rPr>
            </w:pPr>
            <w:r>
              <w:rPr>
                <w:rFonts w:hint="eastAsia" w:cs="Arial" w:asciiTheme="minorEastAsia" w:hAnsiTheme="minorEastAsia" w:eastAsiaTheme="minorEastAsia"/>
                <w:iCs/>
                <w:szCs w:val="21"/>
              </w:rPr>
              <w:t>□是 □否</w:t>
            </w:r>
          </w:p>
        </w:tc>
      </w:tr>
    </w:tbl>
    <w:p>
      <w:pPr>
        <w:spacing w:line="360" w:lineRule="auto"/>
        <w:ind w:firstLine="376" w:firstLineChars="157"/>
        <w:rPr>
          <w:rFonts w:ascii="华文楷体" w:hAnsi="华文楷体" w:eastAsia="华文楷体" w:cs="Arial"/>
          <w:sz w:val="24"/>
        </w:rPr>
      </w:pPr>
      <w:r>
        <w:rPr>
          <w:rFonts w:hint="eastAsia" w:ascii="华文楷体" w:hAnsi="华文楷体" w:eastAsia="华文楷体" w:cs="Arial"/>
          <w:sz w:val="24"/>
        </w:rPr>
        <w:t>附加信息填写处（敬请注明相应的问题序号，可增加行填写）：</w:t>
      </w:r>
    </w:p>
    <w:p>
      <w:pPr>
        <w:adjustRightInd w:val="0"/>
        <w:snapToGrid w:val="0"/>
        <w:spacing w:line="360" w:lineRule="auto"/>
        <w:ind w:firstLine="376" w:firstLineChars="157"/>
        <w:rPr>
          <w:rFonts w:ascii="华文楷体" w:hAnsi="华文楷体" w:eastAsia="华文楷体" w:cs="Arial"/>
          <w:sz w:val="24"/>
          <w:u w:val="single"/>
        </w:rPr>
      </w:pPr>
      <w:r>
        <w:rPr>
          <w:rFonts w:hint="eastAsia" w:ascii="华文楷体" w:hAnsi="华文楷体" w:eastAsia="华文楷体" w:cs="Arial"/>
          <w:sz w:val="24"/>
        </w:rPr>
        <w:t>姓    名：</w:t>
      </w:r>
      <w:r>
        <w:rPr>
          <w:rFonts w:hint="eastAsia" w:ascii="华文楷体" w:hAnsi="华文楷体" w:eastAsia="华文楷体" w:cs="Arial"/>
          <w:sz w:val="24"/>
          <w:u w:val="single"/>
        </w:rPr>
        <w:t xml:space="preserve">                  </w:t>
      </w:r>
      <w:r>
        <w:rPr>
          <w:rFonts w:hint="eastAsia" w:ascii="华文楷体" w:hAnsi="华文楷体" w:eastAsia="华文楷体" w:cs="Arial"/>
          <w:sz w:val="24"/>
        </w:rPr>
        <w:t xml:space="preserve"> 联系方式：</w:t>
      </w:r>
      <w:r>
        <w:rPr>
          <w:rFonts w:hint="eastAsia" w:ascii="华文楷体" w:hAnsi="华文楷体" w:eastAsia="华文楷体" w:cs="Arial"/>
          <w:sz w:val="24"/>
          <w:u w:val="single"/>
        </w:rPr>
        <w:t xml:space="preserve">                       </w:t>
      </w:r>
    </w:p>
    <w:p>
      <w:pPr>
        <w:adjustRightInd w:val="0"/>
        <w:snapToGrid w:val="0"/>
        <w:spacing w:line="360" w:lineRule="auto"/>
        <w:ind w:firstLine="376" w:firstLineChars="157"/>
        <w:rPr>
          <w:rFonts w:ascii="华文楷体" w:hAnsi="华文楷体" w:eastAsia="华文楷体" w:cs="Arial"/>
          <w:sz w:val="24"/>
          <w:u w:val="single"/>
        </w:rPr>
      </w:pPr>
      <w:r>
        <w:rPr>
          <w:rFonts w:hint="eastAsia" w:ascii="华文楷体" w:hAnsi="华文楷体" w:eastAsia="华文楷体" w:cs="Arial"/>
          <w:sz w:val="24"/>
        </w:rPr>
        <w:t>所在部门：</w:t>
      </w:r>
      <w:r>
        <w:rPr>
          <w:rFonts w:hint="eastAsia" w:ascii="华文楷体" w:hAnsi="华文楷体" w:eastAsia="华文楷体" w:cs="Arial"/>
          <w:sz w:val="24"/>
          <w:u w:val="single"/>
        </w:rPr>
        <w:t xml:space="preserve">                  </w:t>
      </w:r>
      <w:r>
        <w:rPr>
          <w:rFonts w:hint="eastAsia" w:ascii="华文楷体" w:hAnsi="华文楷体" w:eastAsia="华文楷体" w:cs="Arial"/>
          <w:sz w:val="24"/>
        </w:rPr>
        <w:t xml:space="preserve"> 职    位：</w:t>
      </w:r>
      <w:r>
        <w:rPr>
          <w:rFonts w:hint="eastAsia" w:ascii="华文楷体" w:hAnsi="华文楷体" w:eastAsia="华文楷体" w:cs="Arial"/>
          <w:sz w:val="24"/>
          <w:u w:val="single"/>
        </w:rPr>
        <w:t xml:space="preserve">                       </w:t>
      </w:r>
    </w:p>
    <w:p>
      <w:pPr>
        <w:adjustRightInd w:val="0"/>
        <w:snapToGrid w:val="0"/>
        <w:spacing w:line="360" w:lineRule="auto"/>
        <w:ind w:firstLine="283" w:firstLineChars="118"/>
        <w:jc w:val="left"/>
      </w:pPr>
      <w:r>
        <w:rPr>
          <w:rFonts w:hint="eastAsia" w:ascii="华文楷体" w:hAnsi="华文楷体" w:eastAsia="华文楷体" w:cs="Arial"/>
          <w:sz w:val="24"/>
        </w:rPr>
        <w:t>日    期：</w:t>
      </w:r>
      <w:r>
        <w:rPr>
          <w:rFonts w:hint="eastAsia" w:ascii="华文楷体" w:hAnsi="华文楷体" w:eastAsia="华文楷体" w:cs="Arial"/>
          <w:sz w:val="24"/>
          <w:u w:val="single"/>
        </w:rPr>
        <w:t xml:space="preserve">   </w:t>
      </w:r>
      <w:r>
        <w:rPr>
          <w:rFonts w:hint="eastAsia" w:ascii="华文楷体" w:hAnsi="华文楷体" w:eastAsia="华文楷体" w:cs="Arial"/>
          <w:sz w:val="24"/>
          <w:u w:val="single"/>
          <w:lang w:val="en-US" w:eastAsia="zh-CN"/>
        </w:rPr>
        <w:t xml:space="preserve">         </w:t>
      </w:r>
      <w:bookmarkStart w:id="0" w:name="_GoBack"/>
      <w:bookmarkEnd w:id="0"/>
      <w:r>
        <w:rPr>
          <w:rFonts w:hint="eastAsia" w:ascii="华文楷体" w:hAnsi="华文楷体" w:eastAsia="华文楷体" w:cs="Arial"/>
          <w:sz w:val="24"/>
          <w:u w:val="single"/>
        </w:rPr>
        <w:t xml:space="preserve">       </w:t>
      </w:r>
      <w:r>
        <w:rPr>
          <w:rFonts w:hint="eastAsia" w:ascii="华文楷体" w:hAnsi="华文楷体" w:eastAsia="华文楷体" w:cs="Arial"/>
          <w:sz w:val="24"/>
        </w:rPr>
        <w:t>金融机构盖章：</w:t>
      </w:r>
      <w:r>
        <w:rPr>
          <w:rFonts w:hint="eastAsia" w:ascii="华文楷体" w:hAnsi="华文楷体" w:eastAsia="华文楷体" w:cs="Arial"/>
          <w:sz w:val="24"/>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245"/>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405D2"/>
    <w:multiLevelType w:val="multilevel"/>
    <w:tmpl w:val="35B405D2"/>
    <w:lvl w:ilvl="0" w:tentative="0">
      <w:start w:val="1"/>
      <w:numFmt w:val="bullet"/>
      <w:lvlText w:val=""/>
      <w:lvlJc w:val="left"/>
      <w:pPr>
        <w:ind w:left="621" w:hanging="480"/>
      </w:pPr>
      <w:rPr>
        <w:rFonts w:hint="default" w:ascii="Wingdings" w:hAnsi="Wingdings"/>
        <w:sz w:val="20"/>
        <w:szCs w:val="20"/>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75F100EE"/>
    <w:multiLevelType w:val="multilevel"/>
    <w:tmpl w:val="75F100EE"/>
    <w:lvl w:ilvl="0" w:tentative="0">
      <w:start w:val="1"/>
      <w:numFmt w:val="bullet"/>
      <w:lvlText w:val=""/>
      <w:lvlJc w:val="left"/>
      <w:pPr>
        <w:ind w:left="621" w:hanging="480"/>
      </w:pPr>
      <w:rPr>
        <w:rFonts w:hint="default" w:ascii="Wingdings" w:hAnsi="Wingdings"/>
        <w:sz w:val="20"/>
        <w:szCs w:val="20"/>
      </w:rPr>
    </w:lvl>
    <w:lvl w:ilvl="1" w:tentative="0">
      <w:start w:val="1"/>
      <w:numFmt w:val="bullet"/>
      <w:lvlText w:val=""/>
      <w:lvlJc w:val="left"/>
      <w:pPr>
        <w:ind w:left="1101" w:hanging="480"/>
      </w:pPr>
      <w:rPr>
        <w:rFonts w:hint="default" w:ascii="Wingdings" w:hAnsi="Wingdings"/>
      </w:rPr>
    </w:lvl>
    <w:lvl w:ilvl="2" w:tentative="0">
      <w:start w:val="1"/>
      <w:numFmt w:val="bullet"/>
      <w:lvlText w:val=""/>
      <w:lvlJc w:val="left"/>
      <w:pPr>
        <w:ind w:left="1581" w:hanging="480"/>
      </w:pPr>
      <w:rPr>
        <w:rFonts w:hint="default" w:ascii="Wingdings" w:hAnsi="Wingdings"/>
      </w:rPr>
    </w:lvl>
    <w:lvl w:ilvl="3" w:tentative="0">
      <w:start w:val="1"/>
      <w:numFmt w:val="bullet"/>
      <w:lvlText w:val=""/>
      <w:lvlJc w:val="left"/>
      <w:pPr>
        <w:ind w:left="2061" w:hanging="480"/>
      </w:pPr>
      <w:rPr>
        <w:rFonts w:hint="default" w:ascii="Wingdings" w:hAnsi="Wingdings"/>
      </w:rPr>
    </w:lvl>
    <w:lvl w:ilvl="4" w:tentative="0">
      <w:start w:val="1"/>
      <w:numFmt w:val="bullet"/>
      <w:lvlText w:val=""/>
      <w:lvlJc w:val="left"/>
      <w:pPr>
        <w:ind w:left="2541" w:hanging="480"/>
      </w:pPr>
      <w:rPr>
        <w:rFonts w:hint="default" w:ascii="Wingdings" w:hAnsi="Wingdings"/>
      </w:rPr>
    </w:lvl>
    <w:lvl w:ilvl="5" w:tentative="0">
      <w:start w:val="1"/>
      <w:numFmt w:val="bullet"/>
      <w:lvlText w:val=""/>
      <w:lvlJc w:val="left"/>
      <w:pPr>
        <w:ind w:left="3021" w:hanging="480"/>
      </w:pPr>
      <w:rPr>
        <w:rFonts w:hint="default" w:ascii="Wingdings" w:hAnsi="Wingdings"/>
      </w:rPr>
    </w:lvl>
    <w:lvl w:ilvl="6" w:tentative="0">
      <w:start w:val="1"/>
      <w:numFmt w:val="bullet"/>
      <w:lvlText w:val=""/>
      <w:lvlJc w:val="left"/>
      <w:pPr>
        <w:ind w:left="3501" w:hanging="480"/>
      </w:pPr>
      <w:rPr>
        <w:rFonts w:hint="default" w:ascii="Wingdings" w:hAnsi="Wingdings"/>
      </w:rPr>
    </w:lvl>
    <w:lvl w:ilvl="7" w:tentative="0">
      <w:start w:val="1"/>
      <w:numFmt w:val="bullet"/>
      <w:lvlText w:val=""/>
      <w:lvlJc w:val="left"/>
      <w:pPr>
        <w:ind w:left="3981" w:hanging="480"/>
      </w:pPr>
      <w:rPr>
        <w:rFonts w:hint="default" w:ascii="Wingdings" w:hAnsi="Wingdings"/>
      </w:rPr>
    </w:lvl>
    <w:lvl w:ilvl="8" w:tentative="0">
      <w:start w:val="1"/>
      <w:numFmt w:val="bullet"/>
      <w:lvlText w:val=""/>
      <w:lvlJc w:val="left"/>
      <w:pPr>
        <w:ind w:left="4461" w:hanging="48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6172"/>
    <w:rsid w:val="00000FE2"/>
    <w:rsid w:val="000204CE"/>
    <w:rsid w:val="000208D6"/>
    <w:rsid w:val="00035413"/>
    <w:rsid w:val="00076781"/>
    <w:rsid w:val="000868DC"/>
    <w:rsid w:val="000955F6"/>
    <w:rsid w:val="000A320B"/>
    <w:rsid w:val="000D65EC"/>
    <w:rsid w:val="000E5AA0"/>
    <w:rsid w:val="00106284"/>
    <w:rsid w:val="001253F0"/>
    <w:rsid w:val="00125CCF"/>
    <w:rsid w:val="00126172"/>
    <w:rsid w:val="001775C7"/>
    <w:rsid w:val="00177F0B"/>
    <w:rsid w:val="001B6253"/>
    <w:rsid w:val="001C795E"/>
    <w:rsid w:val="00240065"/>
    <w:rsid w:val="002434E8"/>
    <w:rsid w:val="00254C2D"/>
    <w:rsid w:val="002714B7"/>
    <w:rsid w:val="00282DE4"/>
    <w:rsid w:val="002971DC"/>
    <w:rsid w:val="002C7281"/>
    <w:rsid w:val="002D58AE"/>
    <w:rsid w:val="002F18E6"/>
    <w:rsid w:val="00312694"/>
    <w:rsid w:val="003510FC"/>
    <w:rsid w:val="00376F73"/>
    <w:rsid w:val="00383310"/>
    <w:rsid w:val="00393CF1"/>
    <w:rsid w:val="00393EBD"/>
    <w:rsid w:val="003C474F"/>
    <w:rsid w:val="00432369"/>
    <w:rsid w:val="00445E36"/>
    <w:rsid w:val="00452A2D"/>
    <w:rsid w:val="00453CD2"/>
    <w:rsid w:val="00491D2B"/>
    <w:rsid w:val="00492B91"/>
    <w:rsid w:val="004D48CB"/>
    <w:rsid w:val="004F351E"/>
    <w:rsid w:val="00504774"/>
    <w:rsid w:val="00506374"/>
    <w:rsid w:val="00513D17"/>
    <w:rsid w:val="00561575"/>
    <w:rsid w:val="00596A2B"/>
    <w:rsid w:val="005C03CE"/>
    <w:rsid w:val="005C33E7"/>
    <w:rsid w:val="005E483B"/>
    <w:rsid w:val="005F7227"/>
    <w:rsid w:val="006313B4"/>
    <w:rsid w:val="00655CBD"/>
    <w:rsid w:val="0065776C"/>
    <w:rsid w:val="00661F73"/>
    <w:rsid w:val="00667F98"/>
    <w:rsid w:val="006D5C8F"/>
    <w:rsid w:val="006F2F98"/>
    <w:rsid w:val="00702021"/>
    <w:rsid w:val="0070631B"/>
    <w:rsid w:val="00710B90"/>
    <w:rsid w:val="007206CF"/>
    <w:rsid w:val="0075664B"/>
    <w:rsid w:val="0077462E"/>
    <w:rsid w:val="00775AE4"/>
    <w:rsid w:val="00794B2F"/>
    <w:rsid w:val="007B12D1"/>
    <w:rsid w:val="008062AE"/>
    <w:rsid w:val="008468E2"/>
    <w:rsid w:val="00853E54"/>
    <w:rsid w:val="00864D25"/>
    <w:rsid w:val="00865EF6"/>
    <w:rsid w:val="00875BF3"/>
    <w:rsid w:val="0089715E"/>
    <w:rsid w:val="008A3271"/>
    <w:rsid w:val="008C0255"/>
    <w:rsid w:val="0093294C"/>
    <w:rsid w:val="009363C8"/>
    <w:rsid w:val="009410D3"/>
    <w:rsid w:val="00943BA3"/>
    <w:rsid w:val="00951EF3"/>
    <w:rsid w:val="009675DF"/>
    <w:rsid w:val="009921D7"/>
    <w:rsid w:val="009A4CAF"/>
    <w:rsid w:val="00A01C15"/>
    <w:rsid w:val="00A16B96"/>
    <w:rsid w:val="00A44661"/>
    <w:rsid w:val="00A92C15"/>
    <w:rsid w:val="00A93D06"/>
    <w:rsid w:val="00AA083E"/>
    <w:rsid w:val="00AB0EEE"/>
    <w:rsid w:val="00B379BE"/>
    <w:rsid w:val="00B650B3"/>
    <w:rsid w:val="00B72917"/>
    <w:rsid w:val="00B72E97"/>
    <w:rsid w:val="00B90FCF"/>
    <w:rsid w:val="00B931C5"/>
    <w:rsid w:val="00B93E7C"/>
    <w:rsid w:val="00BA03DC"/>
    <w:rsid w:val="00BA1A04"/>
    <w:rsid w:val="00BC1B54"/>
    <w:rsid w:val="00BD334D"/>
    <w:rsid w:val="00BE0907"/>
    <w:rsid w:val="00BF4262"/>
    <w:rsid w:val="00BF6A5B"/>
    <w:rsid w:val="00C012A1"/>
    <w:rsid w:val="00C3205F"/>
    <w:rsid w:val="00C34A22"/>
    <w:rsid w:val="00C75E5D"/>
    <w:rsid w:val="00C96BA0"/>
    <w:rsid w:val="00CB1C55"/>
    <w:rsid w:val="00CC53E7"/>
    <w:rsid w:val="00CE244D"/>
    <w:rsid w:val="00CF424B"/>
    <w:rsid w:val="00D02676"/>
    <w:rsid w:val="00D10000"/>
    <w:rsid w:val="00D21E46"/>
    <w:rsid w:val="00D23256"/>
    <w:rsid w:val="00D30E4F"/>
    <w:rsid w:val="00D44B7F"/>
    <w:rsid w:val="00D57374"/>
    <w:rsid w:val="00D82D5B"/>
    <w:rsid w:val="00DB7839"/>
    <w:rsid w:val="00DE0B73"/>
    <w:rsid w:val="00DE5CC5"/>
    <w:rsid w:val="00DF386A"/>
    <w:rsid w:val="00E0279F"/>
    <w:rsid w:val="00E06473"/>
    <w:rsid w:val="00E07394"/>
    <w:rsid w:val="00E57314"/>
    <w:rsid w:val="00EA0241"/>
    <w:rsid w:val="00EB08F7"/>
    <w:rsid w:val="00EC00FF"/>
    <w:rsid w:val="00EE6ACB"/>
    <w:rsid w:val="00F01FA2"/>
    <w:rsid w:val="00F03A36"/>
    <w:rsid w:val="00F13A51"/>
    <w:rsid w:val="00F95A2F"/>
    <w:rsid w:val="00FA575C"/>
    <w:rsid w:val="00FC59AF"/>
    <w:rsid w:val="00FC73D1"/>
    <w:rsid w:val="2D9C1921"/>
    <w:rsid w:val="3AB34577"/>
    <w:rsid w:val="67720FEA"/>
    <w:rsid w:val="7E05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258</Words>
  <Characters>1477</Characters>
  <Lines>12</Lines>
  <Paragraphs>3</Paragraphs>
  <TotalTime>1</TotalTime>
  <ScaleCrop>false</ScaleCrop>
  <LinksUpToDate>false</LinksUpToDate>
  <CharactersWithSpaces>1732</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2019-11-05T09:11:00Z</dcterms:created>
  <dc:creator>凌福博</dc:creator>
  <cp:lastModifiedBy>054968</cp:lastModifiedBy>
  <dcterms:modified xsi:type="dcterms:W3CDTF">2025-07-31T02:57:32Z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F079DE25BB0C481A9C7865EB918403AB</vt:lpwstr>
  </property>
</Properties>
</file>